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6E6D" w14:textId="77777777" w:rsidR="00C27B66" w:rsidRPr="00521B18" w:rsidRDefault="00C27B66" w:rsidP="005814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CC1089" w14:textId="07D6EB38" w:rsidR="0090722F" w:rsidRPr="00D878ED" w:rsidRDefault="0090722F" w:rsidP="00722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ED">
        <w:rPr>
          <w:rFonts w:ascii="Times New Roman" w:hAnsi="Times New Roman" w:cs="Times New Roman"/>
          <w:b/>
          <w:sz w:val="24"/>
          <w:szCs w:val="24"/>
        </w:rPr>
        <w:t>NOTĂ INFORMATIVĂ</w:t>
      </w:r>
    </w:p>
    <w:p w14:paraId="1051CAE8" w14:textId="48EBEFC7" w:rsidR="00405771" w:rsidRPr="00D878ED" w:rsidRDefault="00405771" w:rsidP="00722BF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la proiectul</w:t>
      </w:r>
      <w:r w:rsidR="005814C5"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r w:rsidR="005814C5" w:rsidRPr="00D878E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modificare a </w:t>
      </w:r>
      <w:r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Regulamentului</w:t>
      </w:r>
      <w:r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privind racordarea </w:t>
      </w:r>
      <w:r w:rsidR="00521B18"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la reţelele de gaze naturale şi </w:t>
      </w:r>
      <w:r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prestarea serviciilor de transport şi de distribuţie a gazelor naturale</w:t>
      </w:r>
      <w:r w:rsidRPr="00D878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aprobat prin Hotărârea Consiliului de administrație al ANRE nr. 112/2019 din 1</w:t>
      </w:r>
      <w:r w:rsidRPr="00D878ED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9.04.2019</w:t>
      </w:r>
    </w:p>
    <w:p w14:paraId="1E5A716C" w14:textId="77777777" w:rsidR="00722BF9" w:rsidRPr="00521B18" w:rsidRDefault="00722BF9" w:rsidP="00722BF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Cs w:val="24"/>
          <w:lang w:eastAsia="ru-RU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90722F" w:rsidRPr="00DE5E03" w14:paraId="2EC6B24E" w14:textId="77777777" w:rsidTr="009B2754">
        <w:tc>
          <w:tcPr>
            <w:tcW w:w="9781" w:type="dxa"/>
          </w:tcPr>
          <w:p w14:paraId="560C3E81" w14:textId="57EA5A37" w:rsidR="0090722F" w:rsidRPr="00C27B66" w:rsidRDefault="0090722F" w:rsidP="00C27B66">
            <w:pPr>
              <w:numPr>
                <w:ilvl w:val="0"/>
                <w:numId w:val="1"/>
              </w:numPr>
              <w:spacing w:after="0"/>
              <w:ind w:left="0" w:firstLine="3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Denumirea autorului şi, după caz, a </w:t>
            </w:r>
            <w:r w:rsidR="00C27B66"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participanților</w:t>
            </w: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la elaborarea proiectului</w:t>
            </w:r>
            <w:r w:rsidR="00C27B66" w:rsidRPr="00C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  <w:tr w:rsidR="00C27B66" w:rsidRPr="00DE5E03" w14:paraId="715253D5" w14:textId="77777777" w:rsidTr="009B2754">
        <w:tc>
          <w:tcPr>
            <w:tcW w:w="9781" w:type="dxa"/>
          </w:tcPr>
          <w:p w14:paraId="0A54C691" w14:textId="615D12E3" w:rsidR="00C27B66" w:rsidRPr="00DE5E03" w:rsidRDefault="00C27B66" w:rsidP="00A04BAE">
            <w:pPr>
              <w:spacing w:after="0"/>
              <w:ind w:left="626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E5E03">
              <w:rPr>
                <w:rFonts w:ascii="Times New Roman" w:hAnsi="Times New Roman" w:cs="Times New Roman"/>
                <w:bCs/>
                <w:sz w:val="24"/>
                <w:szCs w:val="24"/>
              </w:rPr>
              <w:t>Agenția Națională 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ntru Reglementare în Energetică</w:t>
            </w:r>
          </w:p>
        </w:tc>
      </w:tr>
      <w:tr w:rsidR="00C27B66" w:rsidRPr="00DE5E03" w14:paraId="51AAD79F" w14:textId="77777777" w:rsidTr="009B2754">
        <w:tc>
          <w:tcPr>
            <w:tcW w:w="9781" w:type="dxa"/>
          </w:tcPr>
          <w:p w14:paraId="1AA1F118" w14:textId="33561974" w:rsidR="00C27B66" w:rsidRPr="00C27B66" w:rsidRDefault="00C27B66" w:rsidP="00EB4DC1">
            <w:pPr>
              <w:pStyle w:val="ListParagraph"/>
              <w:numPr>
                <w:ilvl w:val="0"/>
                <w:numId w:val="7"/>
              </w:numPr>
              <w:spacing w:after="0"/>
              <w:ind w:left="63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7B6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Condiţiile ce au impus elaborarea proiectului de act normativ şi finalitățile urmărite</w:t>
            </w:r>
          </w:p>
        </w:tc>
      </w:tr>
      <w:tr w:rsidR="0090722F" w:rsidRPr="00DE5E03" w14:paraId="119512B8" w14:textId="77777777" w:rsidTr="009B2754">
        <w:tc>
          <w:tcPr>
            <w:tcW w:w="9781" w:type="dxa"/>
          </w:tcPr>
          <w:p w14:paraId="01147A7D" w14:textId="4F47123A" w:rsidR="00E10420" w:rsidRPr="00EB4DC1" w:rsidRDefault="0090722F" w:rsidP="00C27B6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40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Temeiul juridic </w:t>
            </w:r>
            <w:r w:rsidR="00C27B66">
              <w:rPr>
                <w:rFonts w:ascii="Times New Roman" w:hAnsi="Times New Roman" w:cs="Times New Roman"/>
                <w:bCs/>
                <w:sz w:val="24"/>
                <w:szCs w:val="24"/>
              </w:rPr>
              <w:t>de</w:t>
            </w:r>
            <w:r w:rsidR="00C27B66" w:rsidRPr="0040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771">
              <w:rPr>
                <w:rFonts w:ascii="Times New Roman" w:hAnsi="Times New Roman" w:cs="Times New Roman"/>
                <w:bCs/>
                <w:sz w:val="24"/>
                <w:szCs w:val="24"/>
              </w:rPr>
              <w:t>elaborare</w:t>
            </w:r>
            <w:r w:rsidR="00C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57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proiectului </w:t>
            </w:r>
            <w:r w:rsidR="00405771"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Hotărârii pentru modificarea și completarea </w:t>
            </w:r>
            <w:r w:rsidR="00405771"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Regulamentului</w:t>
            </w:r>
            <w:r w:rsidR="00405771" w:rsidRPr="00405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privind racordarea la reţelele de gaze naturale şi prestarea serviciilor de transport şi de distribuţie a gazelor naturale</w:t>
            </w:r>
            <w:r w:rsidR="00405771"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aprobat prin Hotărârea Consiliului de administrație al ANRE nr. 112/2019 </w:t>
            </w:r>
            <w:r w:rsidR="00C27B66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este</w:t>
            </w:r>
            <w:r w:rsidR="00C27B66" w:rsidRPr="00416B8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E10420" w:rsidRPr="00DA3954">
              <w:rPr>
                <w:rStyle w:val="NormalWebChar"/>
                <w:rFonts w:eastAsiaTheme="minorHAnsi"/>
                <w:bCs/>
              </w:rPr>
              <w:t xml:space="preserve">art. 7 alin. (1) lit. (k) </w:t>
            </w:r>
            <w:r w:rsidR="003B0A72">
              <w:rPr>
                <w:rStyle w:val="NormalWebChar"/>
                <w:rFonts w:eastAsiaTheme="minorHAnsi"/>
                <w:bCs/>
              </w:rPr>
              <w:t xml:space="preserve">și art. 39 alin. 5) </w:t>
            </w:r>
            <w:r w:rsidR="003C1AC9">
              <w:rPr>
                <w:rStyle w:val="NormalWebChar"/>
                <w:rFonts w:eastAsiaTheme="minorHAnsi"/>
              </w:rPr>
              <w:t>din</w:t>
            </w:r>
            <w:r w:rsidR="00E10420" w:rsidRPr="00416B8D">
              <w:rPr>
                <w:rStyle w:val="NormalWebChar"/>
                <w:rFonts w:eastAsiaTheme="minorHAnsi"/>
              </w:rPr>
              <w:t xml:space="preserve"> </w:t>
            </w:r>
            <w:r w:rsidR="00E10420" w:rsidRPr="00416B8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Leg</w:t>
            </w:r>
            <w:r w:rsidR="003C1A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ea</w:t>
            </w:r>
            <w:r w:rsidR="00E10420" w:rsidRPr="00416B8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cu privire la gazele naturale nr. 108 </w:t>
            </w:r>
            <w:r w:rsidR="003C1A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/</w:t>
            </w:r>
            <w:r w:rsidR="00E10420" w:rsidRPr="00416B8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2016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14:paraId="507C8973" w14:textId="35061137" w:rsidR="00DA3954" w:rsidRPr="00EB4DC1" w:rsidRDefault="008709C9" w:rsidP="00EB4DC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Potrivit</w:t>
            </w:r>
            <w:r w:rsidR="00DA3954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art.</w:t>
            </w:r>
            <w:r w:rsidR="00C27B66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A3954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39 alin. (5) din Legea 108/2016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:</w:t>
            </w:r>
            <w:r w:rsidR="00DA3954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„</w:t>
            </w:r>
            <w:r w:rsidR="00EB4DC1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prestarea</w:t>
            </w:r>
            <w:r w:rsidR="00DA3954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serviciului de transport sau de distribuţie a gazelor naturale se efectuează de către operatorul de sistem în baza contractului pentru prestarea serviciului de transport sau de distribuţie a gazelor naturale</w:t>
            </w:r>
            <w:r w:rsidR="003B0A72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="00E547FA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elaborat în conformitate cu Legea și Regulamentul privind racordarea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”</w:t>
            </w:r>
            <w:r w:rsidR="00DA3954"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="003B0A72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14:paraId="1926FCD0" w14:textId="46AD2D14" w:rsidR="00EB4DC1" w:rsidRPr="00EB4DC1" w:rsidRDefault="00EB4DC1" w:rsidP="00EB4DC1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În contextul adoptării și intrării în vigoare a unor acte de reglementare noi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precum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Codul rețelelor de gaze naturale 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D2520">
              <w:rPr>
                <w:rFonts w:ascii="Times New Roman" w:hAnsi="Times New Roman" w:cs="Times New Roman"/>
                <w:i/>
                <w:sz w:val="24"/>
                <w:szCs w:val="24"/>
                <w:lang w:eastAsia="ro-RO"/>
              </w:rPr>
              <w:t>Hotărârea ANRE nr.</w:t>
            </w:r>
            <w:r w:rsidR="003C1AC9" w:rsidRPr="00CD2520">
              <w:rPr>
                <w:rFonts w:ascii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r w:rsidRPr="00CD2520">
              <w:rPr>
                <w:rFonts w:ascii="Times New Roman" w:hAnsi="Times New Roman" w:cs="Times New Roman"/>
                <w:i/>
                <w:sz w:val="24"/>
                <w:szCs w:val="24"/>
                <w:lang w:eastAsia="ro-RO"/>
              </w:rPr>
              <w:t>420/2019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)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Regulamentul privind accesul la rețelele de  transport al gazelor naturale și gestionarea congestiilor 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D2520">
              <w:rPr>
                <w:rFonts w:ascii="Times New Roman" w:hAnsi="Times New Roman" w:cs="Times New Roman"/>
                <w:i/>
                <w:sz w:val="24"/>
                <w:szCs w:val="24"/>
                <w:lang w:eastAsia="ro-RO"/>
              </w:rPr>
              <w:t>Hotărârea ANRE nr. 421/2019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)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și Metodologia de calculare, aprobare și aplicare a tarifelor pentru serviciul de transport al gazelor naturale 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D2520">
              <w:rPr>
                <w:rFonts w:ascii="Times New Roman" w:hAnsi="Times New Roman" w:cs="Times New Roman"/>
                <w:i/>
                <w:sz w:val="24"/>
                <w:szCs w:val="24"/>
                <w:lang w:eastAsia="ro-RO"/>
              </w:rPr>
              <w:t>Hotărârea ANRE nr. 535/2019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)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care 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reglementează inclusiv aspecte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care vizează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D878E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procesul de încheiere a contractelor pentru prestarea serviciului de transport precum și derularea acestora,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a apărut necesitatea</w:t>
            </w:r>
            <w:r w:rsidR="008709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modificării </w:t>
            </w:r>
            <w:r w:rsidR="00CB58C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în tandem a 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Regulamentului privind racordarea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P</w:t>
            </w:r>
            <w:r w:rsidR="003C1A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rin modificările</w:t>
            </w:r>
            <w:r w:rsidR="008709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propuse</w:t>
            </w:r>
            <w:r w:rsidR="003C1A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8709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va fi facilitat accesul ut</w:t>
            </w:r>
            <w:r w:rsidR="00CB58C8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ilizatorilor de sistem la rețe</w:t>
            </w:r>
            <w:r w:rsidR="008709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a și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introdus</w:t>
            </w:r>
            <w:r w:rsidR="003C1A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ă</w:t>
            </w:r>
            <w:r w:rsidRPr="00EB4DC1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mai multă transparență</w:t>
            </w:r>
            <w:r w:rsidR="00CD252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în procesul încheierii </w:t>
            </w:r>
            <w:r w:rsidR="008709C9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contracte</w:t>
            </w:r>
            <w:r w:rsidR="003B0A72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lor dintre operatorii de sistem și utilizatorii de sistem.</w:t>
            </w:r>
          </w:p>
          <w:p w14:paraId="2B420EA4" w14:textId="22BEBE84" w:rsidR="002273B8" w:rsidRDefault="000D3554" w:rsidP="00AF27BA">
            <w:pPr>
              <w:suppressAutoHyphens/>
              <w:spacing w:after="0"/>
              <w:ind w:firstLine="597"/>
              <w:jc w:val="both"/>
              <w:rPr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Finalit</w:t>
            </w:r>
            <w:r w:rsidR="0083500D">
              <w:rPr>
                <w:rFonts w:ascii="Times New Roman" w:eastAsia="Times New Roman" w:hAnsi="Times New Roman" w:cs="Times New Roman"/>
                <w:sz w:val="24"/>
                <w:szCs w:val="24"/>
              </w:rPr>
              <w:t>ățile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urmărit</w:t>
            </w:r>
            <w:r w:rsidR="0083500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 w:rsidR="00851541">
              <w:rPr>
                <w:rFonts w:ascii="Times New Roman" w:eastAsia="Times New Roman" w:hAnsi="Times New Roman" w:cs="Times New Roman"/>
                <w:sz w:val="24"/>
                <w:szCs w:val="24"/>
              </w:rPr>
              <w:t>Agenţi</w:t>
            </w:r>
            <w:r w:rsidR="00617E6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5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A72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 w:rsidR="0085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elaborarea proiectului</w:t>
            </w:r>
            <w:r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F22F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de modificare a </w:t>
            </w:r>
            <w:r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Regulamentului</w:t>
            </w:r>
            <w:r w:rsidRPr="00405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privind racordarea</w:t>
            </w:r>
            <w:r w:rsidR="00851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0A72">
              <w:rPr>
                <w:rFonts w:ascii="Times New Roman" w:eastAsia="Times New Roman" w:hAnsi="Times New Roman" w:cs="Times New Roman"/>
                <w:sz w:val="24"/>
                <w:szCs w:val="24"/>
              </w:rPr>
              <w:t>sunt</w:t>
            </w:r>
            <w:r w:rsidR="0085154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273B8" w:rsidRPr="00EB670E">
              <w:rPr>
                <w:iCs/>
                <w:color w:val="000000"/>
              </w:rPr>
              <w:t xml:space="preserve"> </w:t>
            </w:r>
          </w:p>
          <w:p w14:paraId="78153FCA" w14:textId="77777777" w:rsidR="005814C5" w:rsidRPr="005814C5" w:rsidRDefault="005814C5" w:rsidP="00722BF9">
            <w:pPr>
              <w:numPr>
                <w:ilvl w:val="0"/>
                <w:numId w:val="3"/>
              </w:numPr>
              <w:tabs>
                <w:tab w:val="left" w:pos="885"/>
              </w:tabs>
              <w:suppressAutoHyphens/>
              <w:spacing w:after="0"/>
              <w:ind w:left="0" w:firstLine="601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14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implementarea în mod corespunzător a prevederilor Legii nr. 108/2016 cu privire la gazele naturale în partea ce </w:t>
            </w:r>
            <w:proofErr w:type="spellStart"/>
            <w:r w:rsidRPr="005814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ţine</w:t>
            </w:r>
            <w:proofErr w:type="spellEnd"/>
            <w:r w:rsidRPr="005814C5">
              <w:rPr>
                <w:rFonts w:ascii="Times New Roman" w:hAnsi="Times New Roman" w:cs="Times New Roman"/>
                <w:sz w:val="24"/>
                <w:szCs w:val="24"/>
              </w:rPr>
              <w:t xml:space="preserve"> de prestarea serviciilor de transport și de distribuție a gazelor naturale; </w:t>
            </w:r>
          </w:p>
          <w:p w14:paraId="623D1939" w14:textId="39A9E6F2" w:rsidR="005814C5" w:rsidRPr="005814C5" w:rsidRDefault="00AF27BA" w:rsidP="00722BF9">
            <w:pPr>
              <w:pStyle w:val="NormalWeb"/>
              <w:numPr>
                <w:ilvl w:val="0"/>
                <w:numId w:val="3"/>
              </w:numPr>
              <w:tabs>
                <w:tab w:val="left" w:pos="885"/>
              </w:tabs>
              <w:suppressAutoHyphens/>
              <w:autoSpaceDE/>
              <w:autoSpaceDN/>
              <w:adjustRightInd/>
              <w:spacing w:line="257" w:lineRule="auto"/>
              <w:ind w:left="0" w:firstLine="601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evitarea </w:t>
            </w:r>
            <w:r w:rsidR="003C1AC9">
              <w:rPr>
                <w:lang w:val="ro-RO"/>
              </w:rPr>
              <w:t>neî</w:t>
            </w:r>
            <w:r w:rsidR="003C1AC9" w:rsidRPr="005814C5">
              <w:rPr>
                <w:lang w:val="ro-RO"/>
              </w:rPr>
              <w:t>nțelegerilor</w:t>
            </w:r>
            <w:r w:rsidR="005814C5" w:rsidRPr="005814C5">
              <w:rPr>
                <w:lang w:val="ro-RO"/>
              </w:rPr>
              <w:t xml:space="preserve"> apărute în relaţiile dintre utilizatorii de sistem şi operatorii de sistem în legătură cu negocierea și încheierea</w:t>
            </w:r>
            <w:r w:rsidR="005814C5" w:rsidRPr="005814C5">
              <w:rPr>
                <w:i/>
                <w:iCs/>
                <w:lang w:val="ro-RO"/>
              </w:rPr>
              <w:t xml:space="preserve"> </w:t>
            </w:r>
            <w:r w:rsidR="005814C5" w:rsidRPr="005814C5">
              <w:rPr>
                <w:lang w:val="ro-RO"/>
              </w:rPr>
              <w:t>contractelor pentru prestarea serviciului de transport sau de</w:t>
            </w:r>
            <w:r w:rsidR="00CB58C8">
              <w:rPr>
                <w:lang w:val="ro-RO"/>
              </w:rPr>
              <w:t xml:space="preserve"> distribuţie a gazelor naturale;</w:t>
            </w:r>
          </w:p>
          <w:p w14:paraId="5453E418" w14:textId="77777777" w:rsidR="003B0A72" w:rsidRDefault="003B0A72" w:rsidP="00722BF9">
            <w:pPr>
              <w:pStyle w:val="NormalWeb"/>
              <w:numPr>
                <w:ilvl w:val="0"/>
                <w:numId w:val="3"/>
              </w:numPr>
              <w:tabs>
                <w:tab w:val="left" w:pos="885"/>
              </w:tabs>
              <w:suppressAutoHyphens/>
              <w:autoSpaceDE/>
              <w:autoSpaceDN/>
              <w:adjustRightInd/>
              <w:spacing w:line="257" w:lineRule="auto"/>
              <w:ind w:left="0" w:firstLine="601"/>
              <w:jc w:val="both"/>
              <w:rPr>
                <w:lang w:val="ro-RO"/>
              </w:rPr>
            </w:pPr>
            <w:r w:rsidRPr="005814C5">
              <w:rPr>
                <w:lang w:val="ro-RO"/>
              </w:rPr>
              <w:t>evita</w:t>
            </w:r>
            <w:r>
              <w:rPr>
                <w:lang w:val="ro-RO"/>
              </w:rPr>
              <w:t>rea</w:t>
            </w:r>
            <w:r w:rsidRPr="005814C5">
              <w:rPr>
                <w:lang w:val="ro-RO"/>
              </w:rPr>
              <w:t xml:space="preserve"> discrimin</w:t>
            </w:r>
            <w:r>
              <w:rPr>
                <w:lang w:val="ro-RO"/>
              </w:rPr>
              <w:t>ării utilizatorilor de sistem;</w:t>
            </w:r>
          </w:p>
          <w:p w14:paraId="3FA755D8" w14:textId="2F744F89" w:rsidR="0083500D" w:rsidRPr="003B0A72" w:rsidRDefault="005814C5" w:rsidP="003B0A72">
            <w:pPr>
              <w:pStyle w:val="NormalWeb"/>
              <w:numPr>
                <w:ilvl w:val="0"/>
                <w:numId w:val="3"/>
              </w:numPr>
              <w:tabs>
                <w:tab w:val="left" w:pos="885"/>
              </w:tabs>
              <w:suppressAutoHyphens/>
              <w:autoSpaceDE/>
              <w:autoSpaceDN/>
              <w:adjustRightInd/>
              <w:spacing w:line="257" w:lineRule="auto"/>
              <w:ind w:left="0" w:firstLine="601"/>
              <w:jc w:val="both"/>
              <w:rPr>
                <w:lang w:val="ro-RO"/>
              </w:rPr>
            </w:pPr>
            <w:r w:rsidRPr="005814C5">
              <w:rPr>
                <w:lang w:val="ro-RO"/>
              </w:rPr>
              <w:t>optimizarea termenelor de încheiere și negociere a contactelor de transport și de distribuție a gazelor naturale</w:t>
            </w:r>
            <w:r w:rsidR="0083500D">
              <w:rPr>
                <w:lang w:val="en-GB"/>
              </w:rPr>
              <w:t xml:space="preserve">, </w:t>
            </w:r>
            <w:proofErr w:type="spellStart"/>
            <w:r w:rsidR="0083500D">
              <w:rPr>
                <w:lang w:val="en-GB"/>
              </w:rPr>
              <w:t>în</w:t>
            </w:r>
            <w:proofErr w:type="spellEnd"/>
            <w:r w:rsidR="0083500D">
              <w:rPr>
                <w:lang w:val="en-GB"/>
              </w:rPr>
              <w:t xml:space="preserve"> </w:t>
            </w:r>
            <w:proofErr w:type="spellStart"/>
            <w:r w:rsidR="0083500D">
              <w:rPr>
                <w:lang w:val="en-GB"/>
              </w:rPr>
              <w:t>consecință</w:t>
            </w:r>
            <w:proofErr w:type="spellEnd"/>
            <w:r w:rsidR="0083500D">
              <w:rPr>
                <w:lang w:val="en-GB"/>
              </w:rPr>
              <w:t xml:space="preserve"> </w:t>
            </w:r>
            <w:proofErr w:type="spellStart"/>
            <w:r w:rsidR="0083500D">
              <w:rPr>
                <w:lang w:val="en-GB"/>
              </w:rPr>
              <w:t>fiind</w:t>
            </w:r>
            <w:proofErr w:type="spellEnd"/>
            <w:r w:rsidR="0083500D">
              <w:rPr>
                <w:lang w:val="en-GB"/>
              </w:rPr>
              <w:t xml:space="preserve"> </w:t>
            </w:r>
            <w:proofErr w:type="spellStart"/>
            <w:r w:rsidR="0083500D" w:rsidRPr="0083500D">
              <w:rPr>
                <w:lang w:val="en-GB"/>
              </w:rPr>
              <w:t>soluționată</w:t>
            </w:r>
            <w:proofErr w:type="spellEnd"/>
            <w:r w:rsidR="0083500D" w:rsidRPr="0083500D">
              <w:rPr>
                <w:lang w:val="en-GB"/>
              </w:rPr>
              <w:t xml:space="preserve"> </w:t>
            </w:r>
            <w:proofErr w:type="spellStart"/>
            <w:r w:rsidR="0083500D" w:rsidRPr="0083500D">
              <w:rPr>
                <w:lang w:val="en-GB"/>
              </w:rPr>
              <w:t>problema</w:t>
            </w:r>
            <w:proofErr w:type="spellEnd"/>
            <w:r w:rsidR="0083500D" w:rsidRPr="0083500D">
              <w:rPr>
                <w:lang w:val="en-GB"/>
              </w:rPr>
              <w:t xml:space="preserve"> </w:t>
            </w:r>
            <w:proofErr w:type="spellStart"/>
            <w:r w:rsidR="0083500D" w:rsidRPr="0083500D">
              <w:rPr>
                <w:lang w:val="en-GB"/>
              </w:rPr>
              <w:t>tergiversării</w:t>
            </w:r>
            <w:proofErr w:type="spellEnd"/>
            <w:r w:rsidR="0083500D" w:rsidRPr="0083500D">
              <w:rPr>
                <w:lang w:val="en-GB"/>
              </w:rPr>
              <w:t xml:space="preserve"> </w:t>
            </w:r>
            <w:proofErr w:type="spellStart"/>
            <w:r w:rsidR="0083500D" w:rsidRPr="0083500D">
              <w:rPr>
                <w:lang w:val="en-GB"/>
              </w:rPr>
              <w:t>procedurii</w:t>
            </w:r>
            <w:proofErr w:type="spellEnd"/>
            <w:r w:rsidR="0083500D" w:rsidRPr="0083500D">
              <w:rPr>
                <w:lang w:val="en-GB"/>
              </w:rPr>
              <w:t xml:space="preserve"> de </w:t>
            </w:r>
            <w:proofErr w:type="spellStart"/>
            <w:r w:rsidR="0083500D" w:rsidRPr="0083500D">
              <w:rPr>
                <w:lang w:val="en-GB"/>
              </w:rPr>
              <w:t>acordare</w:t>
            </w:r>
            <w:proofErr w:type="spellEnd"/>
            <w:r w:rsidR="0083500D" w:rsidRPr="0083500D">
              <w:rPr>
                <w:lang w:val="en-GB"/>
              </w:rPr>
              <w:t xml:space="preserve"> a </w:t>
            </w:r>
            <w:proofErr w:type="spellStart"/>
            <w:r w:rsidR="0083500D" w:rsidRPr="0083500D">
              <w:rPr>
                <w:lang w:val="en-GB"/>
              </w:rPr>
              <w:t>accesului</w:t>
            </w:r>
            <w:proofErr w:type="spellEnd"/>
            <w:r w:rsidR="0083500D" w:rsidRPr="0083500D">
              <w:rPr>
                <w:lang w:val="en-GB"/>
              </w:rPr>
              <w:t xml:space="preserve"> la </w:t>
            </w:r>
            <w:proofErr w:type="spellStart"/>
            <w:r w:rsidR="0083500D" w:rsidRPr="0083500D">
              <w:rPr>
                <w:lang w:val="en-GB"/>
              </w:rPr>
              <w:t>rețea</w:t>
            </w:r>
            <w:proofErr w:type="spellEnd"/>
            <w:r w:rsidR="003B0A72">
              <w:rPr>
                <w:lang w:val="ro-RO"/>
              </w:rPr>
              <w:t>.</w:t>
            </w:r>
          </w:p>
        </w:tc>
      </w:tr>
      <w:tr w:rsidR="0090722F" w:rsidRPr="00DE5E03" w14:paraId="237BC6B7" w14:textId="77777777" w:rsidTr="000823FB">
        <w:trPr>
          <w:trHeight w:val="987"/>
        </w:trPr>
        <w:tc>
          <w:tcPr>
            <w:tcW w:w="9781" w:type="dxa"/>
          </w:tcPr>
          <w:p w14:paraId="1EFBC8C1" w14:textId="6A5C5497" w:rsidR="0090722F" w:rsidRPr="008B4DB0" w:rsidRDefault="0090722F" w:rsidP="00C27B6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Principalele prevederi ale proiectului </w:t>
            </w:r>
            <w:proofErr w:type="spellStart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şi</w:t>
            </w:r>
            <w:proofErr w:type="spellEnd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evidenţierea</w:t>
            </w:r>
            <w:proofErr w:type="spellEnd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elementelor noi</w:t>
            </w:r>
          </w:p>
          <w:p w14:paraId="555C87F6" w14:textId="08DE5C4A" w:rsidR="00102DE0" w:rsidRPr="003A7D2D" w:rsidRDefault="008C5519" w:rsidP="003A7D2D">
            <w:pPr>
              <w:pStyle w:val="NormalWeb"/>
              <w:tabs>
                <w:tab w:val="left" w:pos="567"/>
                <w:tab w:val="left" w:pos="851"/>
              </w:tabs>
              <w:autoSpaceDE/>
              <w:autoSpaceDN/>
              <w:adjustRightInd/>
              <w:ind w:firstLine="597"/>
              <w:jc w:val="both"/>
              <w:rPr>
                <w:rFonts w:eastAsia="Calibri"/>
                <w:bCs/>
                <w:lang w:val="ro-RO" w:eastAsia="x-none"/>
              </w:rPr>
            </w:pPr>
            <w:r w:rsidRPr="008C5519">
              <w:rPr>
                <w:lang w:val="ro-RO"/>
              </w:rPr>
              <w:t>În scopul încheierii contract</w:t>
            </w:r>
            <w:r>
              <w:rPr>
                <w:lang w:val="ro-RO"/>
              </w:rPr>
              <w:t>elor</w:t>
            </w:r>
            <w:r w:rsidRPr="008C5519">
              <w:rPr>
                <w:lang w:val="ro-RO"/>
              </w:rPr>
              <w:t xml:space="preserve"> pentru prestarea serviciului de transport sau de distribuție a gazelor naturale utilizatorul de sistem va prezenta o cerere către operatorul de sistem de modelul stabilit în Anexa 6</w:t>
            </w:r>
            <w:r w:rsidRPr="008C5519">
              <w:rPr>
                <w:vertAlign w:val="superscript"/>
                <w:lang w:val="ro-RO"/>
              </w:rPr>
              <w:t xml:space="preserve">1 </w:t>
            </w:r>
            <w:r w:rsidRPr="008C5519">
              <w:rPr>
                <w:lang w:val="ro-RO"/>
              </w:rPr>
              <w:t>la Regulament, precum și proiectul completat și semnat al contractului, preluat de pe pagina elect</w:t>
            </w:r>
            <w:r w:rsidR="003A7D2D">
              <w:rPr>
                <w:lang w:val="ro-RO"/>
              </w:rPr>
              <w:t>ronică a operatorului de sistem</w:t>
            </w:r>
            <w:r w:rsidRPr="008C5519">
              <w:rPr>
                <w:lang w:val="ro-RO"/>
              </w:rPr>
              <w:t>.</w:t>
            </w:r>
            <w:r w:rsidR="003A7D2D">
              <w:rPr>
                <w:lang w:val="ro-RO"/>
              </w:rPr>
              <w:t xml:space="preserve"> </w:t>
            </w:r>
            <w:r w:rsidR="00102DE0" w:rsidRPr="001E77F4">
              <w:rPr>
                <w:lang w:val="ro-MD"/>
              </w:rPr>
              <w:t>Operator</w:t>
            </w:r>
            <w:r>
              <w:rPr>
                <w:lang w:val="ro-MD"/>
              </w:rPr>
              <w:t>ii</w:t>
            </w:r>
            <w:r w:rsidR="00102DE0" w:rsidRPr="001E77F4">
              <w:rPr>
                <w:lang w:val="ro-MD"/>
              </w:rPr>
              <w:t xml:space="preserve"> de sistem v</w:t>
            </w:r>
            <w:r>
              <w:rPr>
                <w:lang w:val="ro-MD"/>
              </w:rPr>
              <w:t>or</w:t>
            </w:r>
            <w:r w:rsidR="00102DE0" w:rsidRPr="001E77F4">
              <w:rPr>
                <w:lang w:val="ro-MD"/>
              </w:rPr>
              <w:t xml:space="preserve"> publica </w:t>
            </w:r>
            <w:r>
              <w:rPr>
                <w:lang w:val="ro-MD"/>
              </w:rPr>
              <w:t xml:space="preserve">modelele contractelor </w:t>
            </w:r>
            <w:r w:rsidR="00CB58C8">
              <w:rPr>
                <w:lang w:val="ro-MD"/>
              </w:rPr>
              <w:t>respective</w:t>
            </w:r>
            <w:r w:rsidR="003A7D2D">
              <w:rPr>
                <w:lang w:val="ro-MD"/>
              </w:rPr>
              <w:t xml:space="preserve"> </w:t>
            </w:r>
            <w:r>
              <w:rPr>
                <w:lang w:val="ro-MD"/>
              </w:rPr>
              <w:t>care vor fi</w:t>
            </w:r>
            <w:r w:rsidR="003C1AC9">
              <w:rPr>
                <w:lang w:val="en-GB"/>
              </w:rPr>
              <w:t xml:space="preserve"> </w:t>
            </w:r>
            <w:proofErr w:type="spellStart"/>
            <w:r w:rsidR="003C1AC9">
              <w:rPr>
                <w:lang w:val="en-GB"/>
              </w:rPr>
              <w:t>aplicat</w:t>
            </w:r>
            <w:r>
              <w:rPr>
                <w:lang w:val="en-GB"/>
              </w:rPr>
              <w:t>e</w:t>
            </w:r>
            <w:proofErr w:type="spellEnd"/>
            <w:r w:rsidR="00102DE0" w:rsidRPr="00095364">
              <w:rPr>
                <w:lang w:val="en-GB"/>
              </w:rPr>
              <w:t xml:space="preserve"> </w:t>
            </w:r>
            <w:proofErr w:type="spellStart"/>
            <w:r w:rsidR="00102DE0" w:rsidRPr="00095364">
              <w:rPr>
                <w:lang w:val="en-GB"/>
              </w:rPr>
              <w:t>în</w:t>
            </w:r>
            <w:proofErr w:type="spellEnd"/>
            <w:r w:rsidR="00102DE0" w:rsidRPr="00095364">
              <w:rPr>
                <w:lang w:val="en-GB"/>
              </w:rPr>
              <w:t xml:space="preserve"> mod </w:t>
            </w:r>
            <w:proofErr w:type="spellStart"/>
            <w:r w:rsidR="00102DE0" w:rsidRPr="00095364">
              <w:rPr>
                <w:lang w:val="en-GB"/>
              </w:rPr>
              <w:t>nediscriminatoriu</w:t>
            </w:r>
            <w:proofErr w:type="spellEnd"/>
            <w:r w:rsidR="00102DE0" w:rsidRPr="00095364">
              <w:rPr>
                <w:lang w:val="en-GB"/>
              </w:rPr>
              <w:t xml:space="preserve"> </w:t>
            </w:r>
            <w:proofErr w:type="spellStart"/>
            <w:r w:rsidR="00102DE0" w:rsidRPr="00095364">
              <w:rPr>
                <w:lang w:val="en-GB"/>
              </w:rPr>
              <w:t>față</w:t>
            </w:r>
            <w:proofErr w:type="spellEnd"/>
            <w:r w:rsidR="00102DE0" w:rsidRPr="00095364">
              <w:rPr>
                <w:lang w:val="en-GB"/>
              </w:rPr>
              <w:t xml:space="preserve"> de </w:t>
            </w:r>
            <w:proofErr w:type="spellStart"/>
            <w:r w:rsidR="00102DE0" w:rsidRPr="00095364">
              <w:rPr>
                <w:lang w:val="en-GB"/>
              </w:rPr>
              <w:t>toți</w:t>
            </w:r>
            <w:proofErr w:type="spellEnd"/>
            <w:r w:rsidR="00102DE0" w:rsidRPr="00095364">
              <w:rPr>
                <w:lang w:val="en-GB"/>
              </w:rPr>
              <w:t xml:space="preserve"> </w:t>
            </w:r>
            <w:proofErr w:type="spellStart"/>
            <w:r w:rsidR="00102DE0" w:rsidRPr="00095364">
              <w:rPr>
                <w:lang w:val="en-GB"/>
              </w:rPr>
              <w:t>utilizatorii</w:t>
            </w:r>
            <w:proofErr w:type="spellEnd"/>
            <w:r w:rsidR="00102DE0" w:rsidRPr="00095364">
              <w:rPr>
                <w:lang w:val="en-GB"/>
              </w:rPr>
              <w:t xml:space="preserve"> de </w:t>
            </w:r>
            <w:proofErr w:type="spellStart"/>
            <w:r w:rsidR="00102DE0" w:rsidRPr="00095364">
              <w:rPr>
                <w:lang w:val="en-GB"/>
              </w:rPr>
              <w:t>sistem</w:t>
            </w:r>
            <w:proofErr w:type="spellEnd"/>
            <w:r w:rsidR="00CB58C8">
              <w:rPr>
                <w:lang w:val="en-GB"/>
              </w:rPr>
              <w:t>.</w:t>
            </w:r>
          </w:p>
          <w:p w14:paraId="71457A50" w14:textId="1AD5628C" w:rsidR="00CB3E80" w:rsidRPr="00CB3E80" w:rsidRDefault="00CB58C8" w:rsidP="008C5519">
            <w:pPr>
              <w:tabs>
                <w:tab w:val="left" w:pos="993"/>
                <w:tab w:val="left" w:pos="1134"/>
                <w:tab w:val="left" w:pos="1276"/>
                <w:tab w:val="left" w:pos="2127"/>
              </w:tabs>
              <w:spacing w:after="0" w:line="240" w:lineRule="auto"/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Solicitanții de a încheia contracte privind accesul la rețea</w:t>
            </w:r>
            <w:r w:rsidR="003B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(transport / distribuție a gazelor naturale) vor prevedea în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anexe informația privind cantitatea planificată și perioada de livrare a gazelor naturale</w:t>
            </w:r>
            <w:r w:rsid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,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l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ista locurilor de consum</w:t>
            </w:r>
            <w:r w:rsid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,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l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ista persoanelor împuternicite să negocieze regimul de distribuție al gazelor naturale și să semneze actele de predare-primire, </w:t>
            </w:r>
            <w:r w:rsid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a</w:t>
            </w:r>
            <w:r w:rsidR="00CB3E80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ctele ce confirmă împuternicirile de reprezentare</w:t>
            </w:r>
            <w:r w:rsid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. C</w:t>
            </w:r>
            <w:r w:rsidR="00BA7B76" w:rsidRP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ontractele respective vor produce efecte doa</w:t>
            </w:r>
            <w:r w:rsidR="000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r după completarea și semnarea a</w:t>
            </w:r>
            <w:r w:rsidR="00BA7B76" w:rsidRP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nexei</w:t>
            </w:r>
            <w:r w:rsidR="00082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="00BA7B76" w:rsidRPr="00BA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privind</w:t>
            </w:r>
            <w:r w:rsidR="003B5405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cantitatea planificată și perioada de livrare a gazelor naturale</w:t>
            </w:r>
            <w:r w:rsidR="003B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/</w:t>
            </w:r>
            <w:r w:rsidR="003B5405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 </w:t>
            </w:r>
            <w:r w:rsidR="003B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l</w:t>
            </w:r>
            <w:r w:rsidR="003B5405" w:rsidRPr="00CB3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>ista locurilor de consum</w:t>
            </w:r>
            <w:r w:rsidR="003B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 w:eastAsia="ru-RU"/>
              </w:rPr>
              <w:t xml:space="preserve">. </w:t>
            </w:r>
          </w:p>
          <w:p w14:paraId="1F2676E5" w14:textId="77777777" w:rsidR="0090722F" w:rsidRDefault="00102DE0" w:rsidP="008C5519">
            <w:pPr>
              <w:pStyle w:val="NormalWeb"/>
              <w:tabs>
                <w:tab w:val="left" w:pos="851"/>
              </w:tabs>
              <w:ind w:firstLine="491"/>
              <w:jc w:val="both"/>
              <w:rPr>
                <w:bCs/>
                <w:lang w:val="ro-MD"/>
              </w:rPr>
            </w:pPr>
            <w:r w:rsidRPr="00102DE0">
              <w:rPr>
                <w:lang w:val="en-GB"/>
              </w:rPr>
              <w:lastRenderedPageBreak/>
              <w:t xml:space="preserve">De asemenea, </w:t>
            </w:r>
            <w:proofErr w:type="spellStart"/>
            <w:r w:rsidRPr="00102DE0">
              <w:rPr>
                <w:lang w:val="en-GB"/>
              </w:rPr>
              <w:t>va</w:t>
            </w:r>
            <w:proofErr w:type="spellEnd"/>
            <w:r w:rsidRPr="00102DE0">
              <w:rPr>
                <w:lang w:val="en-GB"/>
              </w:rPr>
              <w:t xml:space="preserve"> fi </w:t>
            </w:r>
            <w:proofErr w:type="spellStart"/>
            <w:r w:rsidRPr="00102DE0">
              <w:rPr>
                <w:lang w:val="en-GB"/>
              </w:rPr>
              <w:t>interzis</w:t>
            </w:r>
            <w:proofErr w:type="spellEnd"/>
            <w:r w:rsidRPr="00102DE0">
              <w:rPr>
                <w:lang w:val="en-GB"/>
              </w:rPr>
              <w:t xml:space="preserve"> </w:t>
            </w:r>
            <w:proofErr w:type="spellStart"/>
            <w:r w:rsidRPr="00102DE0">
              <w:rPr>
                <w:lang w:val="en-GB"/>
              </w:rPr>
              <w:t>operatorului</w:t>
            </w:r>
            <w:proofErr w:type="spellEnd"/>
            <w:r w:rsidRPr="00102DE0">
              <w:rPr>
                <w:lang w:val="en-GB"/>
              </w:rPr>
              <w:t xml:space="preserve"> de </w:t>
            </w:r>
            <w:proofErr w:type="spellStart"/>
            <w:r w:rsidRPr="00102DE0">
              <w:rPr>
                <w:lang w:val="en-GB"/>
              </w:rPr>
              <w:t>sistem</w:t>
            </w:r>
            <w:proofErr w:type="spellEnd"/>
            <w:r w:rsidRPr="00102DE0">
              <w:rPr>
                <w:lang w:val="en-GB"/>
              </w:rPr>
              <w:t xml:space="preserve"> să </w:t>
            </w:r>
            <w:proofErr w:type="spellStart"/>
            <w:r w:rsidRPr="00102DE0">
              <w:rPr>
                <w:lang w:val="en-GB"/>
              </w:rPr>
              <w:t>solicite</w:t>
            </w:r>
            <w:proofErr w:type="spellEnd"/>
            <w:r w:rsidRPr="00102DE0">
              <w:rPr>
                <w:lang w:val="en-GB"/>
              </w:rPr>
              <w:t xml:space="preserve"> </w:t>
            </w:r>
            <w:proofErr w:type="spellStart"/>
            <w:r w:rsidRPr="00102DE0">
              <w:rPr>
                <w:lang w:val="en-GB"/>
              </w:rPr>
              <w:t>alte</w:t>
            </w:r>
            <w:proofErr w:type="spellEnd"/>
            <w:r w:rsidRPr="00102DE0">
              <w:rPr>
                <w:lang w:val="en-GB"/>
              </w:rPr>
              <w:t xml:space="preserve"> </w:t>
            </w:r>
            <w:proofErr w:type="spellStart"/>
            <w:r w:rsidRPr="00102DE0">
              <w:rPr>
                <w:lang w:val="en-GB"/>
              </w:rPr>
              <w:t>acte</w:t>
            </w:r>
            <w:proofErr w:type="spellEnd"/>
            <w:r w:rsidRPr="00102DE0">
              <w:rPr>
                <w:lang w:val="en-GB"/>
              </w:rPr>
              <w:t xml:space="preserve"> </w:t>
            </w:r>
            <w:proofErr w:type="spellStart"/>
            <w:r w:rsidRPr="00102DE0">
              <w:rPr>
                <w:lang w:val="en-GB"/>
              </w:rPr>
              <w:t>decât</w:t>
            </w:r>
            <w:proofErr w:type="spellEnd"/>
            <w:r w:rsidRPr="00102DE0">
              <w:rPr>
                <w:lang w:val="en-GB"/>
              </w:rPr>
              <w:t xml:space="preserve"> </w:t>
            </w:r>
            <w:proofErr w:type="spellStart"/>
            <w:r w:rsidRPr="00102DE0">
              <w:rPr>
                <w:lang w:val="en-GB"/>
              </w:rPr>
              <w:t>cele</w:t>
            </w:r>
            <w:proofErr w:type="spellEnd"/>
            <w:r w:rsidRPr="00102DE0">
              <w:rPr>
                <w:lang w:val="en-GB"/>
              </w:rPr>
              <w:t xml:space="preserve"> indicate </w:t>
            </w:r>
            <w:proofErr w:type="spellStart"/>
            <w:r w:rsidRPr="00102DE0">
              <w:rPr>
                <w:lang w:val="en-GB"/>
              </w:rPr>
              <w:t>în</w:t>
            </w:r>
            <w:proofErr w:type="spellEnd"/>
            <w:r w:rsidRPr="00102DE0">
              <w:rPr>
                <w:lang w:val="en-GB"/>
              </w:rPr>
              <w:t xml:space="preserve"> Regulament.</w:t>
            </w:r>
            <w:r>
              <w:rPr>
                <w:lang w:val="en-GB"/>
              </w:rPr>
              <w:t xml:space="preserve"> </w:t>
            </w:r>
            <w:r w:rsidRPr="00102DE0">
              <w:rPr>
                <w:lang w:val="en-GB"/>
              </w:rPr>
              <w:t>Operatorul de sistem va transmite utilizatorului de sistem contractul semnat în termen de cel mult 3 zile calendaristice de la recepţia documentelor corespunzătoare.</w:t>
            </w:r>
            <w:r w:rsidRPr="00E07519">
              <w:rPr>
                <w:rFonts w:ascii="PT Serif" w:hAnsi="PT Serif"/>
                <w:lang w:val="ro-MD"/>
              </w:rPr>
              <w:t xml:space="preserve"> </w:t>
            </w:r>
            <w:r w:rsidRPr="00E07519">
              <w:rPr>
                <w:bCs/>
                <w:lang w:val="ro-MD"/>
              </w:rPr>
              <w:t xml:space="preserve"> </w:t>
            </w:r>
            <w:r w:rsidR="00360BDA">
              <w:rPr>
                <w:bCs/>
                <w:lang w:val="ro-MD"/>
              </w:rPr>
              <w:t xml:space="preserve"> </w:t>
            </w:r>
          </w:p>
          <w:p w14:paraId="47B26FE7" w14:textId="1D46C0D3" w:rsidR="000823FB" w:rsidRPr="000823FB" w:rsidRDefault="000823FB" w:rsidP="00557667">
            <w:pPr>
              <w:ind w:firstLine="460"/>
              <w:jc w:val="both"/>
              <w:rPr>
                <w:lang w:val="ro-MD" w:eastAsia="ru-RU"/>
              </w:rPr>
            </w:pPr>
            <w:r w:rsidRPr="0087540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Implementarea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</w:t>
            </w:r>
            <w:r w:rsidRPr="002273B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odific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ă</w:t>
            </w:r>
            <w:r w:rsidRPr="002273B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ilor la</w:t>
            </w:r>
            <w:r w:rsidRPr="002273B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Regulamentul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privind racordarea </w:t>
            </w:r>
            <w:r w:rsidRPr="0087540B">
              <w:rPr>
                <w:rFonts w:ascii="Times New Roman" w:eastAsia="Batang" w:hAnsi="Times New Roman" w:cs="Times New Roman"/>
                <w:sz w:val="24"/>
                <w:szCs w:val="24"/>
              </w:rPr>
              <w:t>va contribui semnificativ la atingerea obiectivelor stabilite în Legea nr. 108/2016 şi respectării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lor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normative </w:t>
            </w:r>
            <w:r w:rsidRPr="00434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reglementare noi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aprobate de ANRE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0722F" w:rsidRPr="00DE5E03" w14:paraId="6C2705A8" w14:textId="77777777" w:rsidTr="009B2754">
        <w:tc>
          <w:tcPr>
            <w:tcW w:w="9781" w:type="dxa"/>
          </w:tcPr>
          <w:p w14:paraId="5E830D21" w14:textId="77777777" w:rsidR="0090722F" w:rsidRPr="00DE5E03" w:rsidRDefault="0090722F" w:rsidP="00C27B6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Fundamentarea </w:t>
            </w:r>
            <w:proofErr w:type="spellStart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economico</w:t>
            </w:r>
            <w:proofErr w:type="spellEnd"/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-financiară</w:t>
            </w:r>
          </w:p>
          <w:p w14:paraId="61812ADF" w14:textId="19CAC60A" w:rsidR="008B4DB0" w:rsidRPr="008B4DB0" w:rsidRDefault="008B4DB0" w:rsidP="009B2754">
            <w:pPr>
              <w:tabs>
                <w:tab w:val="left" w:pos="468"/>
              </w:tabs>
              <w:spacing w:after="0"/>
              <w:ind w:firstLine="6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>Implementarea noilor modificări la Regulament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 privind racordarea</w:t>
            </w: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 xml:space="preserve"> nu va genera noi costuri de conformare, suportate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operatorii de sistem </w:t>
            </w: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 xml:space="preserve">în scopul ajustării procedurilor interne cu prevederile noi. Totodată se va diminua timpul pentru  operatorii de sistem și utilizatorii de sistem, în procesul de </w:t>
            </w:r>
            <w:proofErr w:type="spellStart"/>
            <w:r w:rsidRPr="000823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B4DB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ontractare</w:t>
            </w:r>
            <w:proofErr w:type="spellEnd"/>
            <w:r w:rsidRPr="008B4DB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B4DB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serviciului</w:t>
            </w:r>
            <w:proofErr w:type="spellEnd"/>
            <w:r w:rsidRPr="008B4DB0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de transport și de distribuție a gazelor naturale</w:t>
            </w:r>
            <w:r w:rsidR="00AF27BA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.</w:t>
            </w:r>
          </w:p>
          <w:p w14:paraId="6A4B7727" w14:textId="6A84C054" w:rsidR="0090722F" w:rsidRPr="00216C5B" w:rsidRDefault="0090722F" w:rsidP="00360BDA">
            <w:pPr>
              <w:spacing w:after="0"/>
              <w:ind w:firstLine="6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722F" w:rsidRPr="00DE5E03" w14:paraId="3B872447" w14:textId="77777777" w:rsidTr="009B2754">
        <w:tc>
          <w:tcPr>
            <w:tcW w:w="9781" w:type="dxa"/>
          </w:tcPr>
          <w:p w14:paraId="3010ECDA" w14:textId="77777777" w:rsidR="0090722F" w:rsidRPr="00216C5B" w:rsidRDefault="0090722F" w:rsidP="00C27B66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Modul de încorporare a actului în cadrul normativ în vigoare</w:t>
            </w:r>
          </w:p>
          <w:p w14:paraId="59B2CD9F" w14:textId="3E60120E" w:rsidR="0090722F" w:rsidRPr="00DE5E03" w:rsidRDefault="00601CE3" w:rsidP="00360BDA">
            <w:pPr>
              <w:spacing w:after="0"/>
              <w:ind w:firstLine="62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>odificări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 xml:space="preserve"> la Regulament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 privind racordarea</w:t>
            </w:r>
            <w:r w:rsidRPr="008B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BDA">
              <w:rPr>
                <w:rFonts w:ascii="Times New Roman" w:hAnsi="Times New Roman" w:cs="Times New Roman"/>
                <w:bCs/>
                <w:sz w:val="24"/>
                <w:szCs w:val="24"/>
              </w:rPr>
              <w:t>au fost</w:t>
            </w:r>
            <w:r w:rsidR="0090722F" w:rsidRPr="00B5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elaborat</w:t>
            </w:r>
            <w:r w:rsidR="00360BD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0722F" w:rsidRPr="00B528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luând în considerare prevederile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395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Codul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ui</w:t>
            </w:r>
            <w:r w:rsidRPr="00DA3954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rețelelor de </w:t>
            </w:r>
            <w:r w:rsidRPr="00601CE3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gaze naturale nr. 420/2019</w:t>
            </w:r>
            <w:r w:rsidR="00D46BCD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,</w:t>
            </w:r>
            <w:r w:rsidRPr="00601CE3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Regulame</w:t>
            </w:r>
            <w:r w:rsidR="00BF2F70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ntul privind accesul la rețele</w:t>
            </w:r>
            <w:r w:rsidRPr="00601CE3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nr. 421/2019</w:t>
            </w:r>
            <w:r w:rsidR="00360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722F" w:rsidRPr="0060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și </w:t>
            </w:r>
            <w:r w:rsidR="00BA7B76" w:rsidRPr="00E0785C">
              <w:rPr>
                <w:rFonts w:ascii="Times New Roman" w:eastAsia="Times New Roman" w:hAnsi="Times New Roman" w:cs="Times New Roman"/>
                <w:sz w:val="24"/>
                <w:szCs w:val="24"/>
              </w:rPr>
              <w:t>alte acte normative aprobate de A</w:t>
            </w:r>
            <w:r w:rsidR="00BA7B76">
              <w:rPr>
                <w:rFonts w:ascii="Times New Roman" w:eastAsia="Times New Roman" w:hAnsi="Times New Roman" w:cs="Times New Roman"/>
                <w:sz w:val="24"/>
                <w:szCs w:val="24"/>
              </w:rPr>
              <w:t>genţie.</w:t>
            </w:r>
          </w:p>
        </w:tc>
      </w:tr>
      <w:tr w:rsidR="0090722F" w:rsidRPr="00DE5E03" w14:paraId="29E1A880" w14:textId="77777777" w:rsidTr="009B2754">
        <w:tc>
          <w:tcPr>
            <w:tcW w:w="9781" w:type="dxa"/>
          </w:tcPr>
          <w:p w14:paraId="4A8797A0" w14:textId="54C9E762" w:rsidR="0090722F" w:rsidRPr="00722BF9" w:rsidRDefault="0090722F" w:rsidP="00722BF9">
            <w:pPr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5E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Avizarea și consultarea publică a proiectului</w:t>
            </w:r>
          </w:p>
          <w:p w14:paraId="58E779AD" w14:textId="63FD2667" w:rsidR="00722BF9" w:rsidRDefault="00722BF9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7EE5">
              <w:rPr>
                <w:rFonts w:ascii="Times New Roman" w:hAnsi="Times New Roman" w:cs="Times New Roman"/>
                <w:sz w:val="24"/>
                <w:szCs w:val="24"/>
              </w:rPr>
              <w:t>Proiectul</w:t>
            </w:r>
            <w:r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de </w:t>
            </w:r>
            <w:r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modificare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Regulamentului</w:t>
            </w:r>
            <w:r w:rsidRPr="00405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privind racordarea la reţelele de gaze naturale şi prestarea serviciilor de transport şi de distribuţie a gazelor naturale</w:t>
            </w:r>
            <w:r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aprobat prin Hotărârea Consiliului de administrație al ANRE nr. 112/2019 </w:t>
            </w:r>
            <w:r w:rsidRPr="00416B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416B8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16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fost consultat cu părţile interesate în conformitate cu Legea privind transparenţa în procesul deciziona</w:t>
            </w:r>
            <w:r w:rsidR="00BA7B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 nr. 238/2008 şi Legea nr. 100/</w:t>
            </w:r>
            <w:r w:rsidRPr="00416B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2017.</w:t>
            </w:r>
          </w:p>
          <w:p w14:paraId="0AAB44B8" w14:textId="2EA2DD7B" w:rsidR="00722BF9" w:rsidRPr="00D71EF6" w:rsidRDefault="00722BF9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 asemenea A</w:t>
            </w:r>
            <w:r w:rsidR="00211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naliza Impactului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Nota informativă au fost plasate pe pagina electronică a Agenţiei pentru a fi supuse consultărilor publice, inclusiv a fost emis un </w:t>
            </w:r>
            <w:r w:rsidR="002119FD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anunț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cu privire la </w:t>
            </w:r>
            <w:r w:rsidR="002119FD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inițierea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examinării acestora, astfel, încât orice persoană interesată să poată prezenta propuneri şi </w:t>
            </w:r>
            <w:r w:rsidR="002119FD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obiecții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 marginea lor, la adresa electronica indicată sau la sediul Agenției. </w:t>
            </w:r>
          </w:p>
          <w:p w14:paraId="0E52BEC2" w14:textId="27668111" w:rsidR="00722BF9" w:rsidRPr="00D71EF6" w:rsidRDefault="00722BF9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Analiza Impactului cît şi proiectul au fost </w:t>
            </w:r>
            <w:r w:rsidR="000823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examinate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şi avizate pozitiv de către Grupul de lucru al Comisiei de stat pentru reglementarea activităţii de întreprinzător în Moldova.</w:t>
            </w:r>
          </w:p>
          <w:p w14:paraId="44D615EF" w14:textId="2AFC3DCD" w:rsidR="00722BF9" w:rsidRPr="00D71EF6" w:rsidRDefault="00722BF9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Propunerile şi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biecţiile înaintate la proiect 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 fost incluse în sinteza obiecțiilor şi recomandărilor prezentate de către părţile interesate.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După definitivarea Tabelei de sinteză, au fost organizate şedinţe de lucru cu reprezentanții operatorilor de sistem și utilizatorilor de sistem, pentru a fi examinate obiecţiile şi propunerile la proiect.</w:t>
            </w:r>
          </w:p>
          <w:p w14:paraId="76FB6935" w14:textId="0A7EB93A" w:rsidR="00722BF9" w:rsidRPr="00D71EF6" w:rsidRDefault="00A426FE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722BF9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roiectul </w:t>
            </w:r>
            <w:r w:rsidR="00722BF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de </w:t>
            </w:r>
            <w:r w:rsidR="00722BF9"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modificare</w:t>
            </w:r>
            <w:r w:rsidR="00722BF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22BF9" w:rsidRPr="0040577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="00722BF9" w:rsidRPr="004057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Regulamentului</w:t>
            </w:r>
            <w:r w:rsidR="00722BF9" w:rsidRPr="00405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privind racordarea</w:t>
            </w:r>
            <w:bookmarkStart w:id="0" w:name="_GoBack"/>
            <w:bookmarkEnd w:id="0"/>
            <w:r w:rsidR="00722BF9" w:rsidRPr="004057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2BF9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 fost supus expertizei anticorupție realizată de Centrul Național Anticorupție</w:t>
            </w:r>
            <w:r w:rsidR="001B4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conform avizului nr. </w:t>
            </w:r>
            <w:r w:rsidR="00211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05/2-4549 din 31.07.2020</w:t>
            </w:r>
            <w:r w:rsidR="00722BF9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precum și expertizei juridice realizate de Ministerul Justiției al RM</w:t>
            </w:r>
            <w:r w:rsidR="001B41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conform avizului nr.</w:t>
            </w:r>
            <w:r w:rsidR="002119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04/6274 din 21.08.2049</w:t>
            </w:r>
            <w:r w:rsidR="00722BF9" w:rsidRPr="00D71E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4C1DAF7A" w14:textId="4176B5CC" w:rsidR="0090722F" w:rsidRPr="00722BF9" w:rsidRDefault="0090722F" w:rsidP="00722BF9">
            <w:pPr>
              <w:tabs>
                <w:tab w:val="left" w:pos="284"/>
                <w:tab w:val="num" w:pos="360"/>
              </w:tabs>
              <w:suppressAutoHyphens/>
              <w:spacing w:after="0" w:line="240" w:lineRule="auto"/>
              <w:ind w:firstLine="567"/>
              <w:jc w:val="both"/>
              <w:rPr>
                <w:bCs/>
              </w:rPr>
            </w:pPr>
          </w:p>
        </w:tc>
      </w:tr>
    </w:tbl>
    <w:p w14:paraId="5115338F" w14:textId="77777777" w:rsidR="009B2754" w:rsidRDefault="009B2754" w:rsidP="0090722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5D7ED2E3" w14:textId="77777777" w:rsidR="002119FD" w:rsidRDefault="002119FD" w:rsidP="002119FD">
      <w:pPr>
        <w:spacing w:after="0"/>
        <w:ind w:firstLine="6663"/>
        <w:rPr>
          <w:rFonts w:ascii="Times New Roman" w:hAnsi="Times New Roman"/>
          <w:b/>
          <w:bCs/>
          <w:sz w:val="28"/>
          <w:szCs w:val="28"/>
        </w:rPr>
      </w:pPr>
    </w:p>
    <w:p w14:paraId="4D95AA94" w14:textId="77777777" w:rsidR="002119FD" w:rsidRDefault="0090722F" w:rsidP="002119FD">
      <w:pPr>
        <w:spacing w:after="0"/>
        <w:ind w:firstLine="6663"/>
        <w:jc w:val="both"/>
        <w:rPr>
          <w:rFonts w:ascii="Times New Roman" w:hAnsi="Times New Roman"/>
          <w:b/>
          <w:bCs/>
          <w:sz w:val="28"/>
          <w:szCs w:val="28"/>
        </w:rPr>
      </w:pPr>
      <w:r w:rsidRPr="00E25691">
        <w:rPr>
          <w:rFonts w:ascii="Times New Roman" w:hAnsi="Times New Roman"/>
          <w:b/>
          <w:bCs/>
          <w:sz w:val="28"/>
          <w:szCs w:val="28"/>
        </w:rPr>
        <w:t>Veaceslav UNTILA</w:t>
      </w:r>
      <w:r w:rsidRPr="00185F7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0C87DB23" w14:textId="412F45CD" w:rsidR="0090722F" w:rsidRPr="00E25691" w:rsidRDefault="0090722F" w:rsidP="002119FD">
      <w:pPr>
        <w:spacing w:after="0"/>
        <w:ind w:firstLine="6663"/>
        <w:jc w:val="both"/>
        <w:rPr>
          <w:rFonts w:ascii="Times New Roman" w:hAnsi="Times New Roman"/>
          <w:b/>
          <w:bCs/>
          <w:sz w:val="28"/>
          <w:szCs w:val="28"/>
        </w:rPr>
      </w:pPr>
      <w:r w:rsidRPr="00E25691">
        <w:rPr>
          <w:rFonts w:ascii="Times New Roman" w:hAnsi="Times New Roman"/>
          <w:b/>
          <w:bCs/>
          <w:sz w:val="28"/>
          <w:szCs w:val="28"/>
        </w:rPr>
        <w:t>Director general ANRE</w:t>
      </w:r>
    </w:p>
    <w:p w14:paraId="58AA6865" w14:textId="4C6030E1" w:rsidR="007C6A26" w:rsidRDefault="007C6A26"/>
    <w:p w14:paraId="21400CF8" w14:textId="313E48C8" w:rsidR="00C273B2" w:rsidRDefault="00C273B2"/>
    <w:p w14:paraId="4291872D" w14:textId="77777777" w:rsidR="00C273B2" w:rsidRDefault="00C273B2"/>
    <w:sectPr w:rsidR="00C273B2" w:rsidSect="000823F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D31"/>
    <w:multiLevelType w:val="hybridMultilevel"/>
    <w:tmpl w:val="6C883770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248375B3"/>
    <w:multiLevelType w:val="hybridMultilevel"/>
    <w:tmpl w:val="FD205C80"/>
    <w:lvl w:ilvl="0" w:tplc="B1686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31551F"/>
    <w:multiLevelType w:val="hybridMultilevel"/>
    <w:tmpl w:val="A9BC2582"/>
    <w:lvl w:ilvl="0" w:tplc="5E1A6C0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A760E3"/>
    <w:multiLevelType w:val="hybridMultilevel"/>
    <w:tmpl w:val="96E2D5B0"/>
    <w:lvl w:ilvl="0" w:tplc="F758B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5C46"/>
    <w:multiLevelType w:val="hybridMultilevel"/>
    <w:tmpl w:val="074E8FEC"/>
    <w:lvl w:ilvl="0" w:tplc="F676AD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F1EA56C2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8C27FE"/>
    <w:multiLevelType w:val="hybridMultilevel"/>
    <w:tmpl w:val="DA3CAD50"/>
    <w:lvl w:ilvl="0" w:tplc="0700DD44">
      <w:start w:val="1"/>
      <w:numFmt w:val="decimal"/>
      <w:pStyle w:val="cris"/>
      <w:lvlText w:val="%1."/>
      <w:lvlJc w:val="left"/>
      <w:pPr>
        <w:ind w:firstLine="568"/>
      </w:pPr>
      <w:rPr>
        <w:rFonts w:ascii="Times New Roman" w:hAnsi="Times New Roman" w:cs="Times New Roman" w:hint="default"/>
        <w:b/>
        <w:bCs/>
        <w:i w:val="0"/>
        <w:strike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6">
    <w:nsid w:val="52196236"/>
    <w:multiLevelType w:val="hybridMultilevel"/>
    <w:tmpl w:val="0FF23422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21C28"/>
    <w:multiLevelType w:val="hybridMultilevel"/>
    <w:tmpl w:val="2AAA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B2415"/>
    <w:multiLevelType w:val="hybridMultilevel"/>
    <w:tmpl w:val="C76C0906"/>
    <w:lvl w:ilvl="0" w:tplc="D0805ECA">
      <w:numFmt w:val="bullet"/>
      <w:lvlText w:val="-"/>
      <w:lvlJc w:val="left"/>
      <w:pPr>
        <w:ind w:left="702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7DC2419F"/>
    <w:multiLevelType w:val="hybridMultilevel"/>
    <w:tmpl w:val="FD24ECDE"/>
    <w:lvl w:ilvl="0" w:tplc="219E05BA">
      <w:start w:val="2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>
    <w:nsid w:val="7FAE0B1C"/>
    <w:multiLevelType w:val="hybridMultilevel"/>
    <w:tmpl w:val="FBE07F80"/>
    <w:lvl w:ilvl="0" w:tplc="E50A48E0">
      <w:start w:val="1"/>
      <w:numFmt w:val="decimal"/>
      <w:lvlText w:val="%1)"/>
      <w:lvlJc w:val="left"/>
      <w:pPr>
        <w:ind w:left="1713" w:hanging="360"/>
      </w:pPr>
      <w:rPr>
        <w:b/>
        <w:i w:val="0"/>
        <w:color w:val="000000"/>
      </w:rPr>
    </w:lvl>
    <w:lvl w:ilvl="1" w:tplc="04180019">
      <w:start w:val="1"/>
      <w:numFmt w:val="lowerLetter"/>
      <w:lvlText w:val="%2."/>
      <w:lvlJc w:val="left"/>
      <w:pPr>
        <w:ind w:left="2433" w:hanging="360"/>
      </w:pPr>
    </w:lvl>
    <w:lvl w:ilvl="2" w:tplc="0418001B">
      <w:start w:val="1"/>
      <w:numFmt w:val="lowerRoman"/>
      <w:lvlText w:val="%3."/>
      <w:lvlJc w:val="right"/>
      <w:pPr>
        <w:ind w:left="3153" w:hanging="180"/>
      </w:pPr>
    </w:lvl>
    <w:lvl w:ilvl="3" w:tplc="0418000F">
      <w:start w:val="1"/>
      <w:numFmt w:val="decimal"/>
      <w:lvlText w:val="%4."/>
      <w:lvlJc w:val="left"/>
      <w:pPr>
        <w:ind w:left="3873" w:hanging="360"/>
      </w:pPr>
    </w:lvl>
    <w:lvl w:ilvl="4" w:tplc="04180019">
      <w:start w:val="1"/>
      <w:numFmt w:val="lowerLetter"/>
      <w:lvlText w:val="%5."/>
      <w:lvlJc w:val="left"/>
      <w:pPr>
        <w:ind w:left="4593" w:hanging="360"/>
      </w:pPr>
    </w:lvl>
    <w:lvl w:ilvl="5" w:tplc="0418001B">
      <w:start w:val="1"/>
      <w:numFmt w:val="lowerRoman"/>
      <w:lvlText w:val="%6."/>
      <w:lvlJc w:val="right"/>
      <w:pPr>
        <w:ind w:left="5313" w:hanging="180"/>
      </w:pPr>
    </w:lvl>
    <w:lvl w:ilvl="6" w:tplc="0418000F">
      <w:start w:val="1"/>
      <w:numFmt w:val="decimal"/>
      <w:lvlText w:val="%7."/>
      <w:lvlJc w:val="left"/>
      <w:pPr>
        <w:ind w:left="6033" w:hanging="360"/>
      </w:pPr>
    </w:lvl>
    <w:lvl w:ilvl="7" w:tplc="04180019">
      <w:start w:val="1"/>
      <w:numFmt w:val="lowerLetter"/>
      <w:lvlText w:val="%8."/>
      <w:lvlJc w:val="left"/>
      <w:pPr>
        <w:ind w:left="6753" w:hanging="360"/>
      </w:pPr>
    </w:lvl>
    <w:lvl w:ilvl="8" w:tplc="0418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F"/>
    <w:rsid w:val="00005DD0"/>
    <w:rsid w:val="000823FB"/>
    <w:rsid w:val="000D3554"/>
    <w:rsid w:val="000F4FE7"/>
    <w:rsid w:val="00102DE0"/>
    <w:rsid w:val="001B41C1"/>
    <w:rsid w:val="002119FD"/>
    <w:rsid w:val="002273B8"/>
    <w:rsid w:val="002B106A"/>
    <w:rsid w:val="002D66FD"/>
    <w:rsid w:val="00326AC8"/>
    <w:rsid w:val="00340A41"/>
    <w:rsid w:val="00360BDA"/>
    <w:rsid w:val="003A7D2D"/>
    <w:rsid w:val="003B0A72"/>
    <w:rsid w:val="003B5405"/>
    <w:rsid w:val="003B5BC6"/>
    <w:rsid w:val="003C1AC9"/>
    <w:rsid w:val="003F4A38"/>
    <w:rsid w:val="00405771"/>
    <w:rsid w:val="00434029"/>
    <w:rsid w:val="0046509E"/>
    <w:rsid w:val="004932F5"/>
    <w:rsid w:val="004C128A"/>
    <w:rsid w:val="0051380E"/>
    <w:rsid w:val="00521B18"/>
    <w:rsid w:val="00557667"/>
    <w:rsid w:val="00576094"/>
    <w:rsid w:val="005814C5"/>
    <w:rsid w:val="005E0A23"/>
    <w:rsid w:val="00601CE3"/>
    <w:rsid w:val="00617E60"/>
    <w:rsid w:val="006E2660"/>
    <w:rsid w:val="00707849"/>
    <w:rsid w:val="00722BF9"/>
    <w:rsid w:val="00776D04"/>
    <w:rsid w:val="007C6A26"/>
    <w:rsid w:val="007E1869"/>
    <w:rsid w:val="007F46D3"/>
    <w:rsid w:val="00832D1A"/>
    <w:rsid w:val="0083500D"/>
    <w:rsid w:val="00851541"/>
    <w:rsid w:val="008709C9"/>
    <w:rsid w:val="008B4DB0"/>
    <w:rsid w:val="008C5519"/>
    <w:rsid w:val="0090722F"/>
    <w:rsid w:val="00927DFB"/>
    <w:rsid w:val="00965EEE"/>
    <w:rsid w:val="009B2754"/>
    <w:rsid w:val="009D61F3"/>
    <w:rsid w:val="009D661D"/>
    <w:rsid w:val="00A04BAE"/>
    <w:rsid w:val="00A426FE"/>
    <w:rsid w:val="00A5207E"/>
    <w:rsid w:val="00A64F0C"/>
    <w:rsid w:val="00AB01D3"/>
    <w:rsid w:val="00AD1483"/>
    <w:rsid w:val="00AF27BA"/>
    <w:rsid w:val="00B22780"/>
    <w:rsid w:val="00B67A85"/>
    <w:rsid w:val="00BA7B76"/>
    <w:rsid w:val="00BF2F70"/>
    <w:rsid w:val="00C273B2"/>
    <w:rsid w:val="00C27B66"/>
    <w:rsid w:val="00CB3E80"/>
    <w:rsid w:val="00CB58C8"/>
    <w:rsid w:val="00CD2520"/>
    <w:rsid w:val="00CF067A"/>
    <w:rsid w:val="00D46BCD"/>
    <w:rsid w:val="00D878ED"/>
    <w:rsid w:val="00D87FE3"/>
    <w:rsid w:val="00DA3954"/>
    <w:rsid w:val="00DF22FB"/>
    <w:rsid w:val="00E10420"/>
    <w:rsid w:val="00E140C9"/>
    <w:rsid w:val="00E547FA"/>
    <w:rsid w:val="00EB0419"/>
    <w:rsid w:val="00EB4DC1"/>
    <w:rsid w:val="00EC090D"/>
    <w:rsid w:val="00F3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D814"/>
  <w15:chartTrackingRefBased/>
  <w15:docId w15:val="{B89C9784-6BB7-46CF-88E7-952EB9C1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2F"/>
    <w:pPr>
      <w:spacing w:after="200" w:line="276" w:lineRule="auto"/>
    </w:pPr>
    <w:rPr>
      <w:rFonts w:eastAsiaTheme="minorEastAsia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2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80E"/>
    <w:rPr>
      <w:rFonts w:ascii="Segoe UI" w:eastAsiaTheme="minorEastAsia" w:hAnsi="Segoe UI" w:cs="Segoe UI"/>
      <w:sz w:val="18"/>
      <w:szCs w:val="18"/>
      <w:lang w:val="ro-RO" w:eastAsia="zh-CN"/>
    </w:rPr>
  </w:style>
  <w:style w:type="paragraph" w:customStyle="1" w:styleId="def">
    <w:name w:val="def"/>
    <w:basedOn w:val="Normal"/>
    <w:rsid w:val="004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aliases w:val="Знак,webb, Знак"/>
    <w:basedOn w:val="Normal"/>
    <w:next w:val="Normal"/>
    <w:link w:val="NormalWebChar"/>
    <w:uiPriority w:val="99"/>
    <w:qFormat/>
    <w:rsid w:val="00405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40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DA395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273B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814C5"/>
    <w:rPr>
      <w:rFonts w:eastAsiaTheme="minorEastAsia"/>
      <w:lang w:val="ro-RO" w:eastAsia="zh-CN"/>
    </w:rPr>
  </w:style>
  <w:style w:type="paragraph" w:customStyle="1" w:styleId="cris">
    <w:name w:val="cris"/>
    <w:basedOn w:val="ListParagraph"/>
    <w:link w:val="cris0"/>
    <w:rsid w:val="00776D04"/>
    <w:pPr>
      <w:numPr>
        <w:numId w:val="8"/>
      </w:numPr>
      <w:tabs>
        <w:tab w:val="num" w:pos="360"/>
        <w:tab w:val="left" w:pos="426"/>
        <w:tab w:val="left" w:pos="993"/>
      </w:tabs>
      <w:spacing w:after="12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ris0">
    <w:name w:val="cris Знак"/>
    <w:link w:val="cris"/>
    <w:locked/>
    <w:rsid w:val="00776D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lorfulShading-Accent3Char">
    <w:name w:val="Colorful Shading - Accent 3 Char"/>
    <w:link w:val="ColorfulShading-Accent3"/>
    <w:uiPriority w:val="34"/>
    <w:locked/>
    <w:rsid w:val="00CB3E80"/>
    <w:rPr>
      <w:sz w:val="22"/>
      <w:szCs w:val="22"/>
      <w:lang w:val="ro-RO" w:eastAsia="en-US"/>
    </w:rPr>
  </w:style>
  <w:style w:type="table" w:styleId="ColorfulShading-Accent3">
    <w:name w:val="Colorful Shading Accent 3"/>
    <w:basedOn w:val="TableNormal"/>
    <w:link w:val="ColorfulShading-Accent3Char"/>
    <w:uiPriority w:val="34"/>
    <w:semiHidden/>
    <w:unhideWhenUsed/>
    <w:rsid w:val="00CB3E80"/>
    <w:pPr>
      <w:spacing w:after="0" w:line="240" w:lineRule="auto"/>
    </w:pPr>
    <w:rPr>
      <w:lang w:val="ro-RO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C8E6-E3BC-C148-B473-792B9DF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1043</Words>
  <Characters>5951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Microsoft Office User</cp:lastModifiedBy>
  <cp:revision>7</cp:revision>
  <dcterms:created xsi:type="dcterms:W3CDTF">2020-09-04T08:04:00Z</dcterms:created>
  <dcterms:modified xsi:type="dcterms:W3CDTF">2020-09-15T12:03:00Z</dcterms:modified>
</cp:coreProperties>
</file>